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E9" w:rsidRDefault="00B96BE9" w:rsidP="006346E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</w:rPr>
      </w:pPr>
    </w:p>
    <w:p w:rsidR="00B96BE9" w:rsidRDefault="00B96BE9" w:rsidP="003504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350448" w:rsidRDefault="00350448" w:rsidP="003504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Краевое государственное казенное  учреждение для детей - сирот</w:t>
      </w:r>
    </w:p>
    <w:p w:rsidR="00350448" w:rsidRDefault="001A1BBF" w:rsidP="003504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6pt;margin-top:14.5pt;width:148.5pt;height:120.1pt;z-index:1">
            <v:imagedata r:id="rId5" o:title="79F70AB3"/>
          </v:shape>
        </w:pict>
      </w:r>
      <w:r w:rsidR="00350448">
        <w:rPr>
          <w:rFonts w:ascii="Times New Roman CYR" w:hAnsi="Times New Roman CYR" w:cs="Times New Roman CYR"/>
          <w:b/>
          <w:bCs/>
        </w:rPr>
        <w:t>и детей, оставшихся без попечения родителей</w:t>
      </w:r>
    </w:p>
    <w:p w:rsidR="00B96BE9" w:rsidRPr="00BE7EE7" w:rsidRDefault="00350448" w:rsidP="00BE7EE7">
      <w:pPr>
        <w:autoSpaceDE w:val="0"/>
        <w:autoSpaceDN w:val="0"/>
        <w:adjustRightInd w:val="0"/>
        <w:spacing w:line="276" w:lineRule="auto"/>
        <w:jc w:val="center"/>
      </w:pPr>
      <w:r w:rsidRPr="00350448">
        <w:rPr>
          <w:b/>
          <w:bCs/>
        </w:rPr>
        <w:t xml:space="preserve">« </w:t>
      </w:r>
      <w:r>
        <w:rPr>
          <w:rFonts w:ascii="Times New Roman CYR" w:hAnsi="Times New Roman CYR" w:cs="Times New Roman CYR"/>
          <w:b/>
          <w:bCs/>
        </w:rPr>
        <w:t xml:space="preserve">Канский детский дом им.Ю.А. Гагарина </w:t>
      </w:r>
      <w:r w:rsidRPr="00350448">
        <w:t>»</w:t>
      </w:r>
    </w:p>
    <w:p w:rsidR="00B96BE9" w:rsidRPr="00350448" w:rsidRDefault="00B96BE9" w:rsidP="00350448">
      <w:pPr>
        <w:autoSpaceDE w:val="0"/>
        <w:autoSpaceDN w:val="0"/>
        <w:adjustRightInd w:val="0"/>
        <w:spacing w:line="276" w:lineRule="auto"/>
        <w:jc w:val="center"/>
      </w:pPr>
    </w:p>
    <w:p w:rsidR="00350448" w:rsidRDefault="00350448" w:rsidP="00B96BE9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:rsidR="001A1BBF" w:rsidRDefault="001A1BBF" w:rsidP="00B96BE9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:rsidR="001A1BBF" w:rsidRDefault="001A1BBF" w:rsidP="00B96BE9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:rsidR="001A1BBF" w:rsidRDefault="001A1BBF" w:rsidP="00B96BE9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:rsidR="001A1BBF" w:rsidRDefault="001A1BBF" w:rsidP="00B96BE9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:rsidR="001A1BBF" w:rsidRPr="00BE7EE7" w:rsidRDefault="001A1BBF" w:rsidP="00B96BE9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:rsidR="00350448" w:rsidRDefault="00350448" w:rsidP="003504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Учебный план</w:t>
      </w:r>
    </w:p>
    <w:p w:rsidR="00350448" w:rsidRDefault="00350448" w:rsidP="003504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организованной образовательной деятельности по реализации</w:t>
      </w:r>
    </w:p>
    <w:p w:rsidR="00350448" w:rsidRDefault="00350448" w:rsidP="003504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программы дошкольного образования </w:t>
      </w:r>
    </w:p>
    <w:p w:rsidR="00350448" w:rsidRPr="00350448" w:rsidRDefault="00350448" w:rsidP="0035044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КГКУ </w:t>
      </w:r>
      <w:r w:rsidRPr="00350448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Канский детский дом им.Ю.А. Гагарина </w:t>
      </w:r>
      <w:r w:rsidRPr="00350448">
        <w:rPr>
          <w:b/>
          <w:bCs/>
        </w:rPr>
        <w:t xml:space="preserve">» </w:t>
      </w:r>
    </w:p>
    <w:p w:rsidR="00350448" w:rsidRPr="006631A6" w:rsidRDefault="007F1506" w:rsidP="00BE7EE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</w:t>
      </w:r>
      <w:r w:rsidR="00DD3CE6" w:rsidRPr="006631A6">
        <w:rPr>
          <w:rFonts w:ascii="Times New Roman CYR" w:hAnsi="Times New Roman CYR" w:cs="Times New Roman CYR"/>
          <w:b/>
          <w:bCs/>
        </w:rPr>
        <w:t>9</w:t>
      </w:r>
      <w:r w:rsidR="00DD3CE6">
        <w:rPr>
          <w:rFonts w:ascii="Times New Roman CYR" w:hAnsi="Times New Roman CYR" w:cs="Times New Roman CYR"/>
          <w:b/>
          <w:bCs/>
        </w:rPr>
        <w:t>-20</w:t>
      </w:r>
      <w:r w:rsidR="00DD3CE6" w:rsidRPr="006631A6">
        <w:rPr>
          <w:rFonts w:ascii="Times New Roman CYR" w:hAnsi="Times New Roman CYR" w:cs="Times New Roman CYR"/>
          <w:b/>
          <w:bCs/>
        </w:rPr>
        <w:t>20</w:t>
      </w:r>
      <w:r w:rsidR="00350448">
        <w:rPr>
          <w:rFonts w:ascii="Times New Roman CYR" w:hAnsi="Times New Roman CYR" w:cs="Times New Roman CYR"/>
          <w:b/>
          <w:bCs/>
        </w:rPr>
        <w:t xml:space="preserve"> учебный год</w:t>
      </w:r>
    </w:p>
    <w:p w:rsidR="00350448" w:rsidRDefault="00350448" w:rsidP="003504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350448" w:rsidRPr="00350448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Учебный план представляет собой план-сетку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СанПиН. 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План составлен с учетом  следующих нормативно – правовых документов:</w:t>
      </w:r>
    </w:p>
    <w:p w:rsidR="00350448" w:rsidRPr="004B797E" w:rsidRDefault="00350448" w:rsidP="003504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Федеральный закон Российской Федерации от 29.12.2012 года № 273 ФЗ </w:t>
      </w:r>
      <w:r w:rsidRPr="004B797E">
        <w:t>«</w:t>
      </w:r>
      <w:r w:rsidRPr="004B797E">
        <w:rPr>
          <w:rFonts w:ascii="Times New Roman CYR" w:hAnsi="Times New Roman CYR" w:cs="Times New Roman CYR"/>
        </w:rPr>
        <w:t>Об образовании в Российской Федерации;</w:t>
      </w:r>
    </w:p>
    <w:p w:rsidR="00350448" w:rsidRPr="004B797E" w:rsidRDefault="00350448" w:rsidP="003504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lang w:val="en-US"/>
        </w:rPr>
      </w:pPr>
      <w:r w:rsidRPr="004B797E">
        <w:rPr>
          <w:rFonts w:ascii="Times New Roman CYR" w:hAnsi="Times New Roman CYR" w:cs="Times New Roman CYR"/>
        </w:rPr>
        <w:t xml:space="preserve">Приказ Министерства образования и науки Российской Федерации от 17.10. 2013г. №1155 </w:t>
      </w:r>
      <w:r w:rsidRPr="004B797E">
        <w:rPr>
          <w:lang w:val="en-US"/>
        </w:rPr>
        <w:t>«</w:t>
      </w:r>
      <w:r w:rsidRPr="004B797E">
        <w:rPr>
          <w:rFonts w:ascii="Times New Roman CYR" w:hAnsi="Times New Roman CYR" w:cs="Times New Roman CYR"/>
        </w:rPr>
        <w:t>Об утверждении федерального государственного образовательного стандарта дошкольного образования</w:t>
      </w:r>
      <w:r w:rsidRPr="004B797E">
        <w:rPr>
          <w:lang w:val="en-US"/>
        </w:rPr>
        <w:t>»;</w:t>
      </w:r>
    </w:p>
    <w:p w:rsidR="00350448" w:rsidRPr="004B797E" w:rsidRDefault="00350448" w:rsidP="003504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</w:pPr>
      <w:r w:rsidRPr="004B797E">
        <w:rPr>
          <w:rFonts w:ascii="Times New Roman CYR" w:hAnsi="Times New Roman CYR" w:cs="Times New Roman CYR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4B797E">
          <w:rPr>
            <w:rFonts w:ascii="Times New Roman CYR" w:hAnsi="Times New Roman CYR" w:cs="Times New Roman CYR"/>
          </w:rPr>
          <w:t>2013 г</w:t>
        </w:r>
      </w:smartTag>
      <w:r w:rsidRPr="004B797E">
        <w:rPr>
          <w:rFonts w:ascii="Times New Roman CYR" w:hAnsi="Times New Roman CYR" w:cs="Times New Roman CYR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4B797E">
        <w:t>»;</w:t>
      </w:r>
    </w:p>
    <w:p w:rsidR="00350448" w:rsidRPr="004B797E" w:rsidRDefault="00350448" w:rsidP="003504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</w:pPr>
      <w:r w:rsidRPr="004B797E">
        <w:rPr>
          <w:rFonts w:ascii="Times New Roman CYR" w:hAnsi="Times New Roman CYR" w:cs="Times New Roman CYR"/>
        </w:rPr>
        <w:t xml:space="preserve">Постановление Главного государственного санитарного врача Российской Федерации от 15.05. </w:t>
      </w:r>
      <w:smartTag w:uri="urn:schemas-microsoft-com:office:smarttags" w:element="metricconverter">
        <w:smartTagPr>
          <w:attr w:name="ProductID" w:val="2013 г"/>
        </w:smartTagPr>
        <w:r w:rsidRPr="004B797E">
          <w:rPr>
            <w:rFonts w:ascii="Times New Roman CYR" w:hAnsi="Times New Roman CYR" w:cs="Times New Roman CYR"/>
          </w:rPr>
          <w:t>2013 г</w:t>
        </w:r>
      </w:smartTag>
      <w:r w:rsidRPr="004B797E">
        <w:rPr>
          <w:rFonts w:ascii="Times New Roman CYR" w:hAnsi="Times New Roman CYR" w:cs="Times New Roman CYR"/>
        </w:rPr>
        <w:t>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4B797E">
        <w:t>»;</w:t>
      </w:r>
    </w:p>
    <w:p w:rsidR="00350448" w:rsidRPr="00126529" w:rsidRDefault="00350448" w:rsidP="003504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Постановление Правительства РФ от 24 мая </w:t>
      </w:r>
      <w:smartTag w:uri="urn:schemas-microsoft-com:office:smarttags" w:element="metricconverter">
        <w:smartTagPr>
          <w:attr w:name="ProductID" w:val="2014 г"/>
        </w:smartTagPr>
        <w:r w:rsidRPr="004B797E">
          <w:rPr>
            <w:rFonts w:ascii="Times New Roman CYR" w:hAnsi="Times New Roman CYR" w:cs="Times New Roman CYR"/>
          </w:rPr>
          <w:t>2014</w:t>
        </w:r>
        <w:r w:rsidRPr="004B797E">
          <w:rPr>
            <w:lang w:val="en-US"/>
          </w:rPr>
          <w:t> </w:t>
        </w:r>
        <w:r w:rsidRPr="004B797E">
          <w:rPr>
            <w:rFonts w:ascii="Times New Roman CYR" w:hAnsi="Times New Roman CYR" w:cs="Times New Roman CYR"/>
          </w:rPr>
          <w:t>г</w:t>
        </w:r>
      </w:smartTag>
      <w:r w:rsidRPr="004B797E">
        <w:rPr>
          <w:rFonts w:ascii="Times New Roman CYR" w:hAnsi="Times New Roman CYR" w:cs="Times New Roman CYR"/>
        </w:rPr>
        <w:t>. N</w:t>
      </w:r>
      <w:r w:rsidRPr="004B797E">
        <w:rPr>
          <w:lang w:val="en-US"/>
        </w:rPr>
        <w:t> </w:t>
      </w:r>
      <w:r w:rsidRPr="004B797E">
        <w:t>481 "</w:t>
      </w:r>
      <w:r w:rsidRPr="004B797E">
        <w:rPr>
          <w:rFonts w:ascii="Times New Roman CYR" w:hAnsi="Times New Roman CYR" w:cs="Times New Roman CYR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</w:t>
      </w:r>
      <w:r w:rsidRPr="004B797E">
        <w:rPr>
          <w:rFonts w:ascii="Arial CYR" w:hAnsi="Arial CYR" w:cs="Arial CYR"/>
          <w:b/>
          <w:bCs/>
          <w:color w:val="000000"/>
          <w:highlight w:val="white"/>
        </w:rPr>
        <w:t xml:space="preserve"> </w:t>
      </w:r>
      <w:r w:rsidRPr="004B797E">
        <w:rPr>
          <w:rFonts w:ascii="Times New Roman CYR" w:hAnsi="Times New Roman CYR" w:cs="Times New Roman CYR"/>
        </w:rPr>
        <w:t>родителей".</w:t>
      </w:r>
    </w:p>
    <w:p w:rsidR="00126529" w:rsidRDefault="00126529" w:rsidP="0012652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lang w:val="en-US"/>
        </w:rPr>
      </w:pPr>
    </w:p>
    <w:p w:rsidR="00126529" w:rsidRPr="004B797E" w:rsidRDefault="00126529" w:rsidP="0012652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1A1BBF" w:rsidRDefault="001A1BBF" w:rsidP="001265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lang w:val="en-US"/>
        </w:rPr>
      </w:pPr>
    </w:p>
    <w:p w:rsidR="001A1BBF" w:rsidRDefault="001A1BBF" w:rsidP="001265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lang w:val="en-US"/>
        </w:rPr>
      </w:pPr>
    </w:p>
    <w:p w:rsidR="00BE7EE7" w:rsidRPr="00127D32" w:rsidRDefault="00350448" w:rsidP="001265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В учреждении реализуется основная общеобразовательная пр</w:t>
      </w:r>
      <w:r w:rsidR="00127D32">
        <w:rPr>
          <w:rFonts w:ascii="Times New Roman CYR" w:hAnsi="Times New Roman CYR" w:cs="Times New Roman CYR"/>
        </w:rPr>
        <w:t>ограмма дошкольного образования «Ростки успеха», разработанная на основе Примерной основной образовательной программы дошкольного образования «Успех» ( руководитель Н.В. Федина).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B797E">
        <w:rPr>
          <w:rFonts w:ascii="Times New Roman CYR" w:hAnsi="Times New Roman CYR" w:cs="Times New Roman CYR"/>
          <w:b/>
          <w:bCs/>
        </w:rPr>
        <w:t>Основания для разработки плана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Учебный план отражает особенности учреждения. Круглосуточное пребывание воспитанников в детском доме, специфика учреждения, индивидуальные особенности развития детей дошкольного возраста требуют целостной организации их жизнедеятельности, которая обеспечивает условия для разностороннего развития воспитанников.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Особенность учреждения для детей-сирот и детей, оставшихся без попечения родителей, заключается в том, что дети направляются в учреждение по путевке учредителя (министерство образования Красноярского края) в течение всего года. Так как основной целью деятельности детского дома является развитие семейных форм устройства детей-сирот, поэтому в течение года воспитанники (в основном это дошкольники) могут быть устроены в замещающую семью. В связи с этим общая численность обучающихся по программе дошкольного образования является не стабильной. Таким образом, количество и соотношение возрастных групп детей определяется исходя из предельной наполняемости, норм СанПиН и фактического наличия воспитанников дошкольного возраста.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B797E">
        <w:rPr>
          <w:rFonts w:ascii="Times New Roman CYR" w:hAnsi="Times New Roman CYR" w:cs="Times New Roman CYR"/>
          <w:b/>
          <w:bCs/>
        </w:rPr>
        <w:t>Особенности комплектования групп и контингента воспитанников</w:t>
      </w:r>
    </w:p>
    <w:p w:rsidR="00350448" w:rsidRPr="00662226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На основании Постановления Правительства РФ от 24 мая </w:t>
      </w:r>
      <w:smartTag w:uri="urn:schemas-microsoft-com:office:smarttags" w:element="metricconverter">
        <w:smartTagPr>
          <w:attr w:name="ProductID" w:val="2014 г"/>
        </w:smartTagPr>
        <w:r w:rsidRPr="004B797E">
          <w:rPr>
            <w:rFonts w:ascii="Times New Roman CYR" w:hAnsi="Times New Roman CYR" w:cs="Times New Roman CYR"/>
          </w:rPr>
          <w:t>2014</w:t>
        </w:r>
        <w:r w:rsidRPr="004B797E">
          <w:rPr>
            <w:lang w:val="en-US"/>
          </w:rPr>
          <w:t> </w:t>
        </w:r>
        <w:r w:rsidRPr="004B797E">
          <w:rPr>
            <w:rFonts w:ascii="Times New Roman CYR" w:hAnsi="Times New Roman CYR" w:cs="Times New Roman CYR"/>
          </w:rPr>
          <w:t>г</w:t>
        </w:r>
      </w:smartTag>
      <w:r w:rsidRPr="004B797E">
        <w:rPr>
          <w:rFonts w:ascii="Times New Roman CYR" w:hAnsi="Times New Roman CYR" w:cs="Times New Roman CYR"/>
        </w:rPr>
        <w:t>. N</w:t>
      </w:r>
      <w:r w:rsidRPr="004B797E">
        <w:rPr>
          <w:lang w:val="en-US"/>
        </w:rPr>
        <w:t> </w:t>
      </w:r>
      <w:r w:rsidRPr="004B797E">
        <w:t>481 "</w:t>
      </w:r>
      <w:r w:rsidRPr="004B797E">
        <w:rPr>
          <w:rFonts w:ascii="Times New Roman CYR" w:hAnsi="Times New Roman CYR" w:cs="Times New Roman CYR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</w:t>
      </w:r>
      <w:r w:rsidRPr="004B797E">
        <w:rPr>
          <w:rFonts w:ascii="Arial CYR" w:hAnsi="Arial CYR" w:cs="Arial CYR"/>
          <w:b/>
          <w:bCs/>
          <w:color w:val="000000"/>
          <w:highlight w:val="white"/>
        </w:rPr>
        <w:t xml:space="preserve"> </w:t>
      </w:r>
      <w:r w:rsidRPr="004B797E">
        <w:rPr>
          <w:rFonts w:ascii="Times New Roman CYR" w:hAnsi="Times New Roman CYR" w:cs="Times New Roman CYR"/>
        </w:rPr>
        <w:t>родителей" в учреждении предусмотрено создание разновозрастных групп не более 8 человек.</w:t>
      </w:r>
      <w:r w:rsidR="00662226" w:rsidRPr="00662226">
        <w:rPr>
          <w:rFonts w:ascii="Times New Roman CYR" w:hAnsi="Times New Roman CYR" w:cs="Times New Roman CYR"/>
        </w:rPr>
        <w:t xml:space="preserve"> </w:t>
      </w:r>
    </w:p>
    <w:p w:rsidR="00350448" w:rsidRPr="004B797E" w:rsidRDefault="006631A6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начало 201</w:t>
      </w:r>
      <w:r w:rsidRPr="006631A6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>-20</w:t>
      </w:r>
      <w:r w:rsidRPr="006631A6">
        <w:rPr>
          <w:rFonts w:ascii="Times New Roman CYR" w:hAnsi="Times New Roman CYR" w:cs="Times New Roman CYR"/>
        </w:rPr>
        <w:t>20</w:t>
      </w:r>
      <w:r w:rsidR="00350448" w:rsidRPr="004B797E">
        <w:rPr>
          <w:rFonts w:ascii="Times New Roman CYR" w:hAnsi="Times New Roman CYR" w:cs="Times New Roman CYR"/>
        </w:rPr>
        <w:t xml:space="preserve"> учебного года в де</w:t>
      </w:r>
      <w:r w:rsidR="00B0484E">
        <w:rPr>
          <w:rFonts w:ascii="Times New Roman CYR" w:hAnsi="Times New Roman CYR" w:cs="Times New Roman CYR"/>
        </w:rPr>
        <w:t>тском доме по списку числятся 1</w:t>
      </w:r>
      <w:r w:rsidR="00B0484E" w:rsidRPr="00B0484E">
        <w:rPr>
          <w:rFonts w:ascii="Times New Roman CYR" w:hAnsi="Times New Roman CYR" w:cs="Times New Roman CYR"/>
        </w:rPr>
        <w:t>0</w:t>
      </w:r>
      <w:r w:rsidR="00350448" w:rsidRPr="004B797E">
        <w:rPr>
          <w:rFonts w:ascii="Times New Roman CYR" w:hAnsi="Times New Roman CYR" w:cs="Times New Roman CYR"/>
        </w:rPr>
        <w:t xml:space="preserve"> воспитанников дошкольного возраста. Приказом № </w:t>
      </w:r>
      <w:r w:rsidR="004B797E" w:rsidRPr="004B797E">
        <w:rPr>
          <w:rFonts w:ascii="Times New Roman CYR" w:hAnsi="Times New Roman CYR" w:cs="Times New Roman CYR"/>
        </w:rPr>
        <w:t xml:space="preserve"> </w:t>
      </w:r>
      <w:r w:rsidR="00B0484E" w:rsidRPr="00B0484E">
        <w:rPr>
          <w:rFonts w:ascii="Times New Roman CYR" w:hAnsi="Times New Roman CYR" w:cs="Times New Roman CYR"/>
        </w:rPr>
        <w:t xml:space="preserve">458 </w:t>
      </w:r>
      <w:r w:rsidR="00B0484E">
        <w:rPr>
          <w:rFonts w:ascii="Times New Roman CYR" w:hAnsi="Times New Roman CYR" w:cs="Times New Roman CYR"/>
        </w:rPr>
        <w:t>от 2</w:t>
      </w:r>
      <w:r w:rsidR="004B797E" w:rsidRPr="004B797E">
        <w:rPr>
          <w:rFonts w:ascii="Times New Roman CYR" w:hAnsi="Times New Roman CYR" w:cs="Times New Roman CYR"/>
        </w:rPr>
        <w:t>9.08</w:t>
      </w:r>
      <w:r w:rsidR="00350448" w:rsidRPr="004B797E">
        <w:rPr>
          <w:rFonts w:ascii="Times New Roman CYR" w:hAnsi="Times New Roman CYR" w:cs="Times New Roman CYR"/>
        </w:rPr>
        <w:t>.201</w:t>
      </w:r>
      <w:r w:rsidRPr="006631A6">
        <w:rPr>
          <w:rFonts w:ascii="Times New Roman CYR" w:hAnsi="Times New Roman CYR" w:cs="Times New Roman CYR"/>
        </w:rPr>
        <w:t>9</w:t>
      </w:r>
      <w:r w:rsidR="00350448" w:rsidRPr="004B797E">
        <w:rPr>
          <w:rFonts w:ascii="Times New Roman CYR" w:hAnsi="Times New Roman CYR" w:cs="Times New Roman CYR"/>
          <w:color w:val="FF0000"/>
        </w:rPr>
        <w:t xml:space="preserve"> </w:t>
      </w:r>
      <w:r w:rsidR="00350448" w:rsidRPr="004B797E">
        <w:rPr>
          <w:rFonts w:ascii="Times New Roman CYR" w:hAnsi="Times New Roman CYR" w:cs="Times New Roman CYR"/>
        </w:rPr>
        <w:t>г были сформированы две разновозраст</w:t>
      </w:r>
      <w:r w:rsidR="0065480A">
        <w:rPr>
          <w:rFonts w:ascii="Times New Roman CYR" w:hAnsi="Times New Roman CYR" w:cs="Times New Roman CYR"/>
        </w:rPr>
        <w:t>ные дошкольные группы</w:t>
      </w:r>
      <w:r w:rsidR="0065480A" w:rsidRPr="0065480A">
        <w:rPr>
          <w:rFonts w:ascii="Times New Roman CYR" w:hAnsi="Times New Roman CYR" w:cs="Times New Roman CYR"/>
        </w:rPr>
        <w:t xml:space="preserve"> </w:t>
      </w:r>
      <w:r w:rsidR="0065480A">
        <w:rPr>
          <w:rFonts w:ascii="Times New Roman CYR" w:hAnsi="Times New Roman CYR" w:cs="Times New Roman CYR"/>
        </w:rPr>
        <w:t>общеразвивающей направлен</w:t>
      </w:r>
      <w:r w:rsidR="00B0484E">
        <w:rPr>
          <w:rFonts w:ascii="Times New Roman CYR" w:hAnsi="Times New Roman CYR" w:cs="Times New Roman CYR"/>
        </w:rPr>
        <w:t>ности: №</w:t>
      </w:r>
      <w:r w:rsidR="00B0484E" w:rsidRPr="00B0484E">
        <w:rPr>
          <w:rFonts w:ascii="Times New Roman CYR" w:hAnsi="Times New Roman CYR" w:cs="Times New Roman CYR"/>
        </w:rPr>
        <w:t>1</w:t>
      </w:r>
      <w:r w:rsidR="00B0484E">
        <w:rPr>
          <w:rFonts w:ascii="Times New Roman CYR" w:hAnsi="Times New Roman CYR" w:cs="Times New Roman CYR"/>
        </w:rPr>
        <w:t xml:space="preserve">  старшая и подготовительная,  №</w:t>
      </w:r>
      <w:r w:rsidR="00B0484E" w:rsidRPr="00B0484E">
        <w:rPr>
          <w:rFonts w:ascii="Times New Roman CYR" w:hAnsi="Times New Roman CYR" w:cs="Times New Roman CYR"/>
        </w:rPr>
        <w:t>2</w:t>
      </w:r>
      <w:r w:rsidR="00662226">
        <w:rPr>
          <w:rFonts w:ascii="Times New Roman CYR" w:hAnsi="Times New Roman CYR" w:cs="Times New Roman CYR"/>
        </w:rPr>
        <w:t xml:space="preserve"> - младшая и средняя</w:t>
      </w:r>
      <w:r w:rsidR="00B0484E">
        <w:rPr>
          <w:rFonts w:ascii="Times New Roman CYR" w:hAnsi="Times New Roman CYR" w:cs="Times New Roman CYR"/>
        </w:rPr>
        <w:t xml:space="preserve">.  </w:t>
      </w:r>
      <w:r w:rsidR="00350448" w:rsidRPr="004B797E">
        <w:rPr>
          <w:rFonts w:ascii="Times New Roman CYR" w:hAnsi="Times New Roman CYR" w:cs="Times New Roman CYR"/>
        </w:rPr>
        <w:t xml:space="preserve">Детей, имеющих заключение </w:t>
      </w:r>
      <w:r w:rsidR="004B797E" w:rsidRPr="004B797E">
        <w:rPr>
          <w:rFonts w:ascii="Times New Roman CYR" w:hAnsi="Times New Roman CYR" w:cs="Times New Roman CYR"/>
        </w:rPr>
        <w:t xml:space="preserve">ПМПК нет. 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B797E">
        <w:rPr>
          <w:rFonts w:ascii="Times New Roman CYR" w:hAnsi="Times New Roman CYR" w:cs="Times New Roman CYR"/>
          <w:b/>
          <w:bCs/>
        </w:rPr>
        <w:t>Структура учебного плана</w:t>
      </w:r>
    </w:p>
    <w:p w:rsidR="00B96BE9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В структуре учебного плана выделяются инвариантная (обязательная) и вариативная часть. Инвариантная часть обеспечивает выполнение обязательной части образовательной программы дошкольного образования. Вариативная часть формируется образовательным учреждением с учетом видовой принадлежности учреждения, наличия приоритетных направлений его деятельности. Инвариантная часть учебного плана </w:t>
      </w:r>
      <w:r w:rsidR="004B797E" w:rsidRPr="004B797E">
        <w:rPr>
          <w:rFonts w:ascii="Times New Roman CYR" w:hAnsi="Times New Roman CYR" w:cs="Times New Roman CYR"/>
        </w:rPr>
        <w:t>включает в себя непосредственно</w:t>
      </w:r>
      <w:r w:rsidRPr="004B797E">
        <w:rPr>
          <w:rFonts w:ascii="Times New Roman CYR" w:hAnsi="Times New Roman CYR" w:cs="Times New Roman CYR"/>
        </w:rPr>
        <w:t xml:space="preserve"> образовательную деятельность по реализации основной образовательной программе дошкольного образования. Инвариантная часть обеспечивает выполнение обязательной части основной образовательной программы дошкольного образования. Она реализуется через организацию специально образовательной деятельности, совместную деятельность ребенка и взрослого в ходе режимных моментов, самостоятельную </w:t>
      </w:r>
    </w:p>
    <w:p w:rsidR="00B96BE9" w:rsidRDefault="00B96BE9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B96BE9" w:rsidRDefault="00B96BE9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B96BE9" w:rsidRDefault="00B96BE9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50448" w:rsidRPr="004B797E" w:rsidRDefault="00350448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деятельность детей, взаимодействие с социумом по реализации программы. В соответствии с требованиями основной образовательной программы в инвариантной части учебного плана определено минимальное количество дополнительных занятий.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В учебный план включены пять образовательных областей, обеспечивающие – социально - коммуникативное, познавательное, речевое, художественно-эстетическое, физическое развитие детей.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10138" w:type="dxa"/>
        <w:tblInd w:w="108" w:type="dxa"/>
        <w:tblLayout w:type="fixed"/>
        <w:tblLook w:val="0000"/>
      </w:tblPr>
      <w:tblGrid>
        <w:gridCol w:w="4140"/>
        <w:gridCol w:w="5998"/>
      </w:tblGrid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  <w:b/>
                <w:bCs/>
              </w:rPr>
              <w:t>Образовательные области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4B797E">
              <w:rPr>
                <w:rFonts w:ascii="Times New Roman CYR" w:hAnsi="Times New Roman CYR" w:cs="Times New Roman CYR"/>
                <w:b/>
                <w:bCs/>
              </w:rPr>
              <w:t xml:space="preserve">Виды </w:t>
            </w:r>
            <w:r w:rsidR="006346E3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="004B797E" w:rsidRPr="004B797E">
              <w:rPr>
                <w:rFonts w:ascii="Times New Roman CYR" w:hAnsi="Times New Roman CYR" w:cs="Times New Roman CYR"/>
                <w:b/>
                <w:bCs/>
              </w:rPr>
              <w:t>епосредственно образовательной деятельности ( НОД)</w:t>
            </w:r>
          </w:p>
        </w:tc>
      </w:tr>
      <w:tr w:rsidR="004B797E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797E" w:rsidRPr="004B797E" w:rsidRDefault="004B79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>Познавательное развитие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797E" w:rsidRPr="004B797E" w:rsidRDefault="004B79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4B797E">
              <w:rPr>
                <w:rFonts w:ascii="Times New Roman CYR" w:hAnsi="Times New Roman CYR" w:cs="Times New Roman CYR"/>
              </w:rPr>
              <w:t>Развитие элементарных математических представлений (РЭМП)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>Речевое развитие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>Развитие речи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B93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Художественная</w:t>
            </w:r>
            <w:r w:rsidR="00350448" w:rsidRPr="004B797E">
              <w:rPr>
                <w:rFonts w:ascii="Times New Roman CYR" w:hAnsi="Times New Roman CYR" w:cs="Times New Roman CYR"/>
              </w:rPr>
              <w:t xml:space="preserve"> литератур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>Социально-коммуникативное развитие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B93916" w:rsidRDefault="00B939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Ребенок и окружающий мир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>Художественно-эстетическое развитие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 xml:space="preserve">Музыка </w:t>
            </w:r>
          </w:p>
        </w:tc>
      </w:tr>
      <w:tr w:rsidR="00B93916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916" w:rsidRPr="004B797E" w:rsidRDefault="00B93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916" w:rsidRPr="004B797E" w:rsidRDefault="00B93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Конструирование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 xml:space="preserve">Рисование 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 xml:space="preserve">Лепка 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 xml:space="preserve">Аппликация </w:t>
            </w:r>
          </w:p>
        </w:tc>
      </w:tr>
      <w:tr w:rsidR="00350448" w:rsidRPr="004B7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>Физическое развитие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0448" w:rsidRPr="004B797E" w:rsidRDefault="00350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4B797E">
              <w:rPr>
                <w:rFonts w:ascii="Times New Roman CYR" w:hAnsi="Times New Roman CYR" w:cs="Times New Roman CYR"/>
              </w:rPr>
              <w:t>Физическая культура</w:t>
            </w:r>
            <w:r w:rsidR="004B797E" w:rsidRPr="004B797E">
              <w:rPr>
                <w:rFonts w:ascii="Times New Roman CYR" w:hAnsi="Times New Roman CYR" w:cs="Times New Roman CYR"/>
              </w:rPr>
              <w:t>, здоровье</w:t>
            </w:r>
          </w:p>
        </w:tc>
      </w:tr>
    </w:tbl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4B797E">
        <w:rPr>
          <w:rFonts w:ascii="Times New Roman CYR" w:hAnsi="Times New Roman CYR" w:cs="Times New Roman CYR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4B797E">
        <w:rPr>
          <w:rFonts w:ascii="Times New Roman CYR" w:hAnsi="Times New Roman CYR" w:cs="Times New Roman CYR"/>
          <w:color w:val="292929"/>
        </w:rPr>
        <w:t>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 и на игровой площадке.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Вариативная часть формируется образовательным учреждением. Она реализуется через групповые занятия по реализации приоритетного направления - подготовка ребенка к проживанию в семье и занятия по выбору индивидуальные или групповые.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B797E">
        <w:rPr>
          <w:rFonts w:ascii="Times New Roman CYR" w:hAnsi="Times New Roman CYR" w:cs="Times New Roman CYR"/>
          <w:b/>
          <w:bCs/>
        </w:rPr>
        <w:t>Режим занятий обучающихся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Уч</w:t>
      </w:r>
      <w:r w:rsidR="00B0484E">
        <w:rPr>
          <w:rFonts w:ascii="Times New Roman CYR" w:hAnsi="Times New Roman CYR" w:cs="Times New Roman CYR"/>
        </w:rPr>
        <w:t>ебный период: со 2 сентября по 24</w:t>
      </w:r>
      <w:r w:rsidRPr="004B797E">
        <w:rPr>
          <w:rFonts w:ascii="Times New Roman CYR" w:hAnsi="Times New Roman CYR" w:cs="Times New Roman CYR"/>
        </w:rPr>
        <w:t xml:space="preserve"> мая. Режим работы: 5 - дневная неделя, в субботу и воскресенье непосредственно образовательная деятельность не проводится. Учебный план составлен без</w:t>
      </w:r>
      <w:r w:rsidR="00CF6666">
        <w:rPr>
          <w:rFonts w:ascii="Times New Roman CYR" w:hAnsi="Times New Roman CYR" w:cs="Times New Roman CYR"/>
        </w:rPr>
        <w:t xml:space="preserve"> учета зимних каникул (</w:t>
      </w:r>
      <w:r w:rsidR="006631A6">
        <w:rPr>
          <w:rFonts w:ascii="Times New Roman CYR" w:hAnsi="Times New Roman CYR" w:cs="Times New Roman CYR"/>
          <w:lang w:val="en-US"/>
        </w:rPr>
        <w:t>29</w:t>
      </w:r>
      <w:r w:rsidR="00CF6666">
        <w:rPr>
          <w:rFonts w:ascii="Times New Roman CYR" w:hAnsi="Times New Roman CYR" w:cs="Times New Roman CYR"/>
        </w:rPr>
        <w:t>.12.201</w:t>
      </w:r>
      <w:r w:rsidR="006631A6">
        <w:rPr>
          <w:rFonts w:ascii="Times New Roman CYR" w:hAnsi="Times New Roman CYR" w:cs="Times New Roman CYR"/>
          <w:lang w:val="en-US"/>
        </w:rPr>
        <w:t>9</w:t>
      </w:r>
      <w:r w:rsidR="006631A6">
        <w:rPr>
          <w:rFonts w:ascii="Times New Roman CYR" w:hAnsi="Times New Roman CYR" w:cs="Times New Roman CYR"/>
        </w:rPr>
        <w:t>-</w:t>
      </w:r>
      <w:r w:rsidR="006631A6">
        <w:rPr>
          <w:rFonts w:ascii="Times New Roman CYR" w:hAnsi="Times New Roman CYR" w:cs="Times New Roman CYR"/>
          <w:lang w:val="en-US"/>
        </w:rPr>
        <w:t>08</w:t>
      </w:r>
      <w:r w:rsidR="006631A6">
        <w:rPr>
          <w:rFonts w:ascii="Times New Roman CYR" w:hAnsi="Times New Roman CYR" w:cs="Times New Roman CYR"/>
        </w:rPr>
        <w:t>.01.20</w:t>
      </w:r>
      <w:r w:rsidR="006631A6">
        <w:rPr>
          <w:rFonts w:ascii="Times New Roman CYR" w:hAnsi="Times New Roman CYR" w:cs="Times New Roman CYR"/>
          <w:lang w:val="en-US"/>
        </w:rPr>
        <w:t>20</w:t>
      </w:r>
      <w:r w:rsidRPr="004B797E">
        <w:rPr>
          <w:rFonts w:ascii="Times New Roman CYR" w:hAnsi="Times New Roman CYR" w:cs="Times New Roman CYR"/>
        </w:rPr>
        <w:t xml:space="preserve"> г.)</w:t>
      </w:r>
    </w:p>
    <w:p w:rsidR="00B96BE9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Объем учебной нагрузки в течение недели определен в </w:t>
      </w:r>
    </w:p>
    <w:p w:rsidR="00B96BE9" w:rsidRDefault="00B96BE9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B96BE9" w:rsidRDefault="00B96BE9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B96BE9" w:rsidRDefault="00B96BE9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50448" w:rsidRPr="004B797E" w:rsidRDefault="00350448" w:rsidP="00B96BE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lastRenderedPageBreak/>
        <w:t>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>Продолжительность непрерывной непосредственно образовательной деятельности для детей от 3 до 4 лет — не более 15 минут, от 4 до 5 лет — не более 20 минут, от 5 до 6 лет – не более 25 минут, от 6 до 7 лет – не более 30 минут. Максимально допустимый объем образовательной нагрузки в первой половине дня в средней группе не превышает 40 минут, в старшей группе 1ч.15 минут, в подготовительной группе 1 ч.30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Обучение строится </w:t>
      </w:r>
      <w:r w:rsidR="00706E10">
        <w:rPr>
          <w:rFonts w:ascii="Times New Roman CYR" w:hAnsi="Times New Roman CYR" w:cs="Times New Roman CYR"/>
        </w:rPr>
        <w:t xml:space="preserve">на основе интеграции образовательных областей, </w:t>
      </w:r>
      <w:r w:rsidRPr="004B797E">
        <w:rPr>
          <w:rFonts w:ascii="Times New Roman CYR" w:hAnsi="Times New Roman CYR" w:cs="Times New Roman CYR"/>
        </w:rPr>
        <w:t>как увлекательная проблемно-игровая деятельность, обеспечивающая субъектную позицию ребенка и постоянный рост его самостоятельности, инициативности и творчества.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B797E">
        <w:rPr>
          <w:rFonts w:ascii="Times New Roman CYR" w:hAnsi="Times New Roman CYR" w:cs="Times New Roman CYR"/>
          <w:b/>
          <w:bCs/>
        </w:rPr>
        <w:t>Содержание коррекционной работы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Содержание коррекционной работы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 За пределы обязательной части программы выделена деятельность по квалифицированной коррекции недостатков в развитии детей, в т.ч. детей с ограниченными возможностями здоровья.  </w:t>
      </w:r>
    </w:p>
    <w:p w:rsidR="00350448" w:rsidRPr="004B797E" w:rsidRDefault="00350448" w:rsidP="003504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4B797E">
        <w:rPr>
          <w:rFonts w:ascii="Times New Roman CYR" w:hAnsi="Times New Roman CYR" w:cs="Times New Roman CYR"/>
        </w:rPr>
        <w:t xml:space="preserve">Комплексное сопровождение воспитанников обеспечивается специалистами учреждения (педагог-психолог, учитель-логопед, социальный педагог, инструктор по физической культуре, музыкальный руководитель, медицинская сестра). Специалисты в своей работе используют индивидуальные планы развития и жизнеустройства воспитанников, которые разработаны с учетом проблем ребенка. </w:t>
      </w:r>
    </w:p>
    <w:p w:rsidR="00350448" w:rsidRPr="004B797E" w:rsidRDefault="00350448" w:rsidP="00350448">
      <w:pPr>
        <w:autoSpaceDE w:val="0"/>
        <w:autoSpaceDN w:val="0"/>
        <w:adjustRightInd w:val="0"/>
        <w:ind w:firstLine="567"/>
        <w:jc w:val="both"/>
      </w:pPr>
    </w:p>
    <w:p w:rsidR="00350448" w:rsidRPr="004B797E" w:rsidRDefault="00350448" w:rsidP="0035044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350448" w:rsidRPr="004B797E" w:rsidRDefault="00350448" w:rsidP="0035044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350448" w:rsidRPr="004B797E" w:rsidRDefault="00350448"/>
    <w:sectPr w:rsidR="00350448" w:rsidRPr="004B797E" w:rsidSect="003504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96D5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448"/>
    <w:rsid w:val="00051D10"/>
    <w:rsid w:val="00126529"/>
    <w:rsid w:val="00127D32"/>
    <w:rsid w:val="001A1BBF"/>
    <w:rsid w:val="003215DE"/>
    <w:rsid w:val="00350448"/>
    <w:rsid w:val="003F2E58"/>
    <w:rsid w:val="004B797E"/>
    <w:rsid w:val="006346E3"/>
    <w:rsid w:val="0065480A"/>
    <w:rsid w:val="00662226"/>
    <w:rsid w:val="006631A6"/>
    <w:rsid w:val="00696DF5"/>
    <w:rsid w:val="00706E10"/>
    <w:rsid w:val="007216C1"/>
    <w:rsid w:val="00746219"/>
    <w:rsid w:val="007F1506"/>
    <w:rsid w:val="00845FDB"/>
    <w:rsid w:val="00B0484E"/>
    <w:rsid w:val="00B93916"/>
    <w:rsid w:val="00B96BE9"/>
    <w:rsid w:val="00BE7EE7"/>
    <w:rsid w:val="00CF6666"/>
    <w:rsid w:val="00D00301"/>
    <w:rsid w:val="00D07701"/>
    <w:rsid w:val="00D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4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казенное  учреждение для детей - сирот</vt:lpstr>
    </vt:vector>
  </TitlesOfParts>
  <Company>Организация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казенное  учреждение для детей - сирот</dc:title>
  <dc:creator>Customer</dc:creator>
  <cp:lastModifiedBy>Admin</cp:lastModifiedBy>
  <cp:revision>2</cp:revision>
  <cp:lastPrinted>2019-11-25T08:14:00Z</cp:lastPrinted>
  <dcterms:created xsi:type="dcterms:W3CDTF">2020-03-20T04:48:00Z</dcterms:created>
  <dcterms:modified xsi:type="dcterms:W3CDTF">2020-03-20T04:48:00Z</dcterms:modified>
</cp:coreProperties>
</file>